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D1C50" w14:textId="77777777" w:rsidR="009D6EB0" w:rsidRPr="004A157F" w:rsidRDefault="00000000">
      <w:pPr>
        <w:spacing w:after="300"/>
        <w:rPr>
          <w:rFonts w:ascii="Calibri" w:hAnsi="Calibri" w:cs="Calibri"/>
        </w:rPr>
      </w:pPr>
      <w:r w:rsidRPr="004A157F">
        <w:rPr>
          <w:rFonts w:ascii="Calibri" w:eastAsia="Arial" w:hAnsi="Calibri" w:cs="Calibri"/>
          <w:b/>
          <w:bCs/>
          <w:color w:val="000000"/>
          <w:sz w:val="40"/>
          <w:szCs w:val="40"/>
        </w:rPr>
        <w:t>Allgemeine Geschäftsbedingungen (AGB)</w:t>
      </w:r>
    </w:p>
    <w:p w14:paraId="2593E801" w14:textId="77777777" w:rsidR="009D6EB0" w:rsidRPr="004A157F" w:rsidRDefault="00000000">
      <w:pPr>
        <w:spacing w:before="260" w:after="140"/>
        <w:rPr>
          <w:rFonts w:ascii="Calibri" w:hAnsi="Calibri" w:cs="Calibri"/>
        </w:rPr>
      </w:pPr>
      <w:r w:rsidRPr="004A157F">
        <w:rPr>
          <w:rFonts w:ascii="Calibri" w:eastAsia="Arial" w:hAnsi="Calibri" w:cs="Calibri"/>
          <w:b/>
          <w:bCs/>
          <w:color w:val="000000"/>
          <w:sz w:val="32"/>
          <w:szCs w:val="32"/>
        </w:rPr>
        <w:t>§ 1 Geltungsbereich</w:t>
      </w:r>
    </w:p>
    <w:p w14:paraId="36383805"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 xml:space="preserve">Diese Allgemeinen Geschäftsbedingungen (AGB) gelten für alle Verträge zwischen </w:t>
      </w:r>
    </w:p>
    <w:p w14:paraId="25C9E080" w14:textId="77777777" w:rsidR="009D6EB0" w:rsidRPr="004A157F" w:rsidRDefault="00000000">
      <w:pPr>
        <w:spacing w:after="200"/>
        <w:rPr>
          <w:rFonts w:ascii="Calibri" w:hAnsi="Calibri" w:cs="Calibri"/>
        </w:rPr>
      </w:pPr>
      <w:r w:rsidRPr="004A157F">
        <w:rPr>
          <w:rFonts w:ascii="Calibri" w:eastAsia="Arial" w:hAnsi="Calibri" w:cs="Calibri"/>
          <w:i/>
          <w:iCs/>
          <w:color w:val="2563EB"/>
        </w:rPr>
        <w:t>[Firma, Rechtsform, Anschrift, vertretungsberechtigte Person(en)]</w:t>
      </w:r>
    </w:p>
    <w:p w14:paraId="4CB64951"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(nachfolgend „Auftragnehmer“) und seinen Auftraggebern über die Erbringung von Handwerksleistungen sowie die Lieferung von Materialien und Bauteilen im Zusammenhang mit diesen Leistungen.</w:t>
      </w:r>
    </w:p>
    <w:p w14:paraId="082798D2"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Diese AGB gelten sowohl gegenüber Verbrauchern (§ 13 BGB) als auch gegenüber Unternehmern (§ 14 BGB), soweit nicht in einzelnen Klauseln ausdrücklich nach Kundengruppe unterschieden wird.</w:t>
      </w:r>
    </w:p>
    <w:p w14:paraId="721E7572"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Entgegenstehende oder abweichende Bedingungen des Auftraggebers werden nicht Vertragsbestandteil, es sei denn, der Auftragnehmer stimmt ihrer Geltung ausdrücklich schriftlich zu.</w:t>
      </w:r>
    </w:p>
    <w:p w14:paraId="158C895B" w14:textId="77777777" w:rsidR="009D6EB0" w:rsidRPr="004A157F" w:rsidRDefault="00000000">
      <w:pPr>
        <w:spacing w:before="260" w:after="140"/>
        <w:rPr>
          <w:rFonts w:ascii="Calibri" w:hAnsi="Calibri" w:cs="Calibri"/>
        </w:rPr>
      </w:pPr>
      <w:r w:rsidRPr="004A157F">
        <w:rPr>
          <w:rFonts w:ascii="Calibri" w:eastAsia="Arial" w:hAnsi="Calibri" w:cs="Calibri"/>
          <w:b/>
          <w:bCs/>
          <w:color w:val="000000"/>
          <w:sz w:val="32"/>
          <w:szCs w:val="32"/>
        </w:rPr>
        <w:t>§ 2 Vertragsschluss</w:t>
      </w:r>
    </w:p>
    <w:p w14:paraId="4B7E33F6"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Angebote des Auftragnehmers sind freibleibend und unverbindlich, sofern nicht ausdrücklich als verbindlich gekennzeichnet oder eine Bindefrist genannt ist. Angebote gelten, sofern nicht anders angegeben, [30] Tage ab Erstellungsdatum.</w:t>
      </w:r>
    </w:p>
    <w:p w14:paraId="439C3E48"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Ein Vertrag kommt zustande, wenn der Auftraggeber das Angebot schriftlich, per E-Mail, elektronisch (z. B. über eine Software-Plattform) oder durch eindeutige Erklärung annimmt, oder wenn der Auftragnehmer eine gesonderte Auftragsbestätigung versendet.</w:t>
      </w:r>
    </w:p>
    <w:p w14:paraId="5C0E28CC" w14:textId="4F04FEE8"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Mündliche Nebenabreden sowie nachträgliche Änderungen und Ergänzungen des Vertrags bedürfen der Textform (z. B. E-Mail), soweit nicht aus Dringlichkeitsgründen eine mündliche Beauftragung erfolgt, die schriftlich zu bestätigen ist.</w:t>
      </w:r>
    </w:p>
    <w:p w14:paraId="263FEF61" w14:textId="77777777" w:rsidR="009D6EB0" w:rsidRPr="004A157F" w:rsidRDefault="00000000">
      <w:pPr>
        <w:spacing w:before="260" w:after="140"/>
        <w:rPr>
          <w:rFonts w:ascii="Calibri" w:hAnsi="Calibri" w:cs="Calibri"/>
        </w:rPr>
      </w:pPr>
      <w:r w:rsidRPr="004A157F">
        <w:rPr>
          <w:rFonts w:ascii="Calibri" w:eastAsia="Arial" w:hAnsi="Calibri" w:cs="Calibri"/>
          <w:b/>
          <w:bCs/>
          <w:color w:val="000000"/>
          <w:sz w:val="32"/>
          <w:szCs w:val="32"/>
        </w:rPr>
        <w:t>§ 3 Leistungsumfang und Leistungsänderungen</w:t>
      </w:r>
    </w:p>
    <w:p w14:paraId="7DCF2AD6"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Der Umfang der vertraglich geschuldeten Leistung ergibt sich aus dem Angebot bzw. der Auftragsbestätigung. Leistungen, die dort nicht aufgeführt sind, sind gesondert zu beauftragen und zu vergüten.</w:t>
      </w:r>
    </w:p>
    <w:p w14:paraId="0FAB4257"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Stellt sich während der Ausführung heraus, dass zusätzliche oder geänderte Leistungen erforderlich werden (z. B. wegen nicht erkennbarer Gegebenheiten vor Ort), wird der Auftragnehmer den Auftraggeber hierüber informieren und ein Nachtragsangebot unterbreiten. Mit der Ausführung von Zusatzleistungen wird erst nach Zustimmung des Auftraggebers begonnen, es sei denn, Gefahr im Verzug erfordert ein sofortiges Handeln.</w:t>
      </w:r>
    </w:p>
    <w:p w14:paraId="381CBAFA" w14:textId="77777777" w:rsidR="009D6EB0" w:rsidRPr="004A157F" w:rsidRDefault="00000000">
      <w:pPr>
        <w:spacing w:before="260" w:after="140"/>
        <w:rPr>
          <w:rFonts w:ascii="Calibri" w:hAnsi="Calibri" w:cs="Calibri"/>
        </w:rPr>
      </w:pPr>
      <w:r w:rsidRPr="004A157F">
        <w:rPr>
          <w:rFonts w:ascii="Calibri" w:eastAsia="Arial" w:hAnsi="Calibri" w:cs="Calibri"/>
          <w:b/>
          <w:bCs/>
          <w:color w:val="000000"/>
          <w:sz w:val="32"/>
          <w:szCs w:val="32"/>
        </w:rPr>
        <w:t>§ 4 Preise und Zahlungsbedingungen</w:t>
      </w:r>
    </w:p>
    <w:p w14:paraId="413DEB93" w14:textId="223BED33" w:rsidR="009D6EB0" w:rsidRPr="004A157F" w:rsidRDefault="00000000" w:rsidP="00503215">
      <w:pPr>
        <w:pStyle w:val="Listenabsatz"/>
        <w:numPr>
          <w:ilvl w:val="0"/>
          <w:numId w:val="2"/>
        </w:numPr>
        <w:spacing w:after="100"/>
        <w:rPr>
          <w:rFonts w:ascii="Calibri" w:hAnsi="Calibri" w:cs="Calibri"/>
        </w:rPr>
      </w:pPr>
      <w:r w:rsidRPr="004A157F">
        <w:rPr>
          <w:rFonts w:ascii="Calibri" w:eastAsia="Arial" w:hAnsi="Calibri" w:cs="Calibri"/>
          <w:color w:val="000000"/>
        </w:rPr>
        <w:t>Es gelten die im Angebot bzw. in der Auftragsbestätigung genannten Preise. Sofern nicht anders angegeben, verstehen sich alle Preise gegenüber Verbrauchern inklusive der jeweils gültigen gesetzlichen Umsatzsteuer und gegenüber Unternehmern zzgl. Umsatzsteuer.</w:t>
      </w:r>
    </w:p>
    <w:p w14:paraId="7F834FAC" w14:textId="606F6F14"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Der Auftragnehmer ist berechtigt, angemessene Abschlagszahlungen entsprechend dem Baufortschritt zu verlangen (§ 632a BGB), sofern dies im Angebot</w:t>
      </w:r>
      <w:r w:rsidR="004A157F">
        <w:rPr>
          <w:rFonts w:ascii="Calibri" w:eastAsia="Arial" w:hAnsi="Calibri" w:cs="Calibri"/>
          <w:color w:val="000000"/>
        </w:rPr>
        <w:t>/Auftragsbestätigung</w:t>
      </w:r>
      <w:r w:rsidRPr="004A157F">
        <w:rPr>
          <w:rFonts w:ascii="Calibri" w:eastAsia="Arial" w:hAnsi="Calibri" w:cs="Calibri"/>
          <w:color w:val="000000"/>
        </w:rPr>
        <w:t xml:space="preserve"> ausgewiesen ist.</w:t>
      </w:r>
    </w:p>
    <w:p w14:paraId="6B94818D" w14:textId="4DE24119"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Rechnungen sind, sofern nicht anders vereinbart, innerhalb von [</w:t>
      </w:r>
      <w:r w:rsidR="004A157F">
        <w:rPr>
          <w:rFonts w:ascii="Calibri" w:eastAsia="Arial" w:hAnsi="Calibri" w:cs="Calibri"/>
          <w:color w:val="000000"/>
        </w:rPr>
        <w:t>7</w:t>
      </w:r>
      <w:r w:rsidRPr="004A157F">
        <w:rPr>
          <w:rFonts w:ascii="Calibri" w:eastAsia="Arial" w:hAnsi="Calibri" w:cs="Calibri"/>
          <w:color w:val="000000"/>
        </w:rPr>
        <w:t>] Tagen nach Rechnungsdatum ohne Abzug zur Zahlung fällig.</w:t>
      </w:r>
    </w:p>
    <w:p w14:paraId="3B3AF908"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Bei Zahlungsverzug ist der Auftragnehmer berechtigt, Verzugszinsen in gesetzlicher Höhe zu berechnen (§ 288 BGB); dies gilt unbeschadet weitergehender Verzugsschäden.</w:t>
      </w:r>
    </w:p>
    <w:p w14:paraId="607076A7"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Ein Zurückbehaltungsrecht oder eine Aufrechnung steht dem Auftraggeber nur wegen unbestrittener oder rechtskräftig festgestellter Forderungen zu; dies gilt nicht für Verbraucher hinsichtlich Mängelrügen aus demselben Vertragsverhältnis.</w:t>
      </w:r>
    </w:p>
    <w:p w14:paraId="147546E9" w14:textId="77777777" w:rsidR="004A157F" w:rsidRDefault="004A157F">
      <w:pPr>
        <w:spacing w:before="260" w:after="140"/>
        <w:rPr>
          <w:rFonts w:ascii="Calibri" w:eastAsia="Arial" w:hAnsi="Calibri" w:cs="Calibri"/>
          <w:b/>
          <w:bCs/>
          <w:color w:val="000000"/>
          <w:sz w:val="32"/>
          <w:szCs w:val="32"/>
        </w:rPr>
      </w:pPr>
    </w:p>
    <w:p w14:paraId="5584E133" w14:textId="7BE828E1" w:rsidR="009D6EB0" w:rsidRPr="004A157F" w:rsidRDefault="00000000">
      <w:pPr>
        <w:spacing w:before="260" w:after="140"/>
        <w:rPr>
          <w:rFonts w:ascii="Calibri" w:hAnsi="Calibri" w:cs="Calibri"/>
        </w:rPr>
      </w:pPr>
      <w:r w:rsidRPr="004A157F">
        <w:rPr>
          <w:rFonts w:ascii="Calibri" w:eastAsia="Arial" w:hAnsi="Calibri" w:cs="Calibri"/>
          <w:b/>
          <w:bCs/>
          <w:color w:val="000000"/>
          <w:sz w:val="32"/>
          <w:szCs w:val="32"/>
        </w:rPr>
        <w:lastRenderedPageBreak/>
        <w:t>§ 5 Ausführungsfristen, Termine und Verzug</w:t>
      </w:r>
    </w:p>
    <w:p w14:paraId="65C03705"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Genannte Ausführungstermine sind, sofern nicht ausdrücklich als „verbindlich“ oder „Fixtermin“ bezeichnet, unverbindliche Richtwerte.</w:t>
      </w:r>
    </w:p>
    <w:p w14:paraId="1A0B9E53"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Verzögert sich die Ausführung durch Umstände, die der Auftragnehmer nicht zu vertreten hat (z. B. Materiallieferverzug, Witterung, höhere Gewalt, verspätete Mitwirkung des Auftraggebers), verlängern sich die Fristen entsprechend.</w:t>
      </w:r>
    </w:p>
    <w:p w14:paraId="4AC59205"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Gerät der Auftragnehmer in Verzug, kann der Auftraggeber die gesetzlichen Rechte geltend machen; ein Anspruch auf pauschalierten Verzugsschaden besteht nur, sofern dies gesondert vereinbart wurde.</w:t>
      </w:r>
    </w:p>
    <w:p w14:paraId="187FA8AE"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Dauert eine Verzögerung nach den vorstehenden Regelungen unangemessen lange an, kann jede Vertragspartei ohne Schadensersatzpflicht vom Vertrag zurücktreten.</w:t>
      </w:r>
    </w:p>
    <w:p w14:paraId="7476CD09" w14:textId="77777777" w:rsidR="009D6EB0" w:rsidRPr="004A157F" w:rsidRDefault="00000000">
      <w:pPr>
        <w:spacing w:before="260" w:after="140"/>
        <w:rPr>
          <w:rFonts w:ascii="Calibri" w:hAnsi="Calibri" w:cs="Calibri"/>
        </w:rPr>
      </w:pPr>
      <w:r w:rsidRPr="004A157F">
        <w:rPr>
          <w:rFonts w:ascii="Calibri" w:eastAsia="Arial" w:hAnsi="Calibri" w:cs="Calibri"/>
          <w:b/>
          <w:bCs/>
          <w:color w:val="000000"/>
          <w:sz w:val="32"/>
          <w:szCs w:val="32"/>
        </w:rPr>
        <w:t>§ 6 Mitwirkungspflichten des Auftraggebers</w:t>
      </w:r>
    </w:p>
    <w:p w14:paraId="0CA4CA75"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Der Auftraggeber stellt sicher, dass der Auftragnehmer ungehindert Zugang zum Leistungsort erhält und die für die Ausführung notwendigen Voraussetzungen (z. B. Strom- und Wasseranschluss, Freihalten der Arbeitsfläche) rechtzeitig geschaffen werden.</w:t>
      </w:r>
    </w:p>
    <w:p w14:paraId="28F7AB78"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Verzögerungen oder Mehraufwand, die durch unzureichende Mitwirkung des Auftraggebers entstehen, gehen zu dessen Lasten und werden nach Aufwand zusätzlich vergütet.</w:t>
      </w:r>
    </w:p>
    <w:p w14:paraId="4079E094" w14:textId="77777777" w:rsidR="009D6EB0" w:rsidRPr="004A157F" w:rsidRDefault="00000000">
      <w:pPr>
        <w:spacing w:before="260" w:after="140"/>
        <w:rPr>
          <w:rFonts w:ascii="Calibri" w:hAnsi="Calibri" w:cs="Calibri"/>
        </w:rPr>
      </w:pPr>
      <w:r w:rsidRPr="004A157F">
        <w:rPr>
          <w:rFonts w:ascii="Calibri" w:eastAsia="Arial" w:hAnsi="Calibri" w:cs="Calibri"/>
          <w:b/>
          <w:bCs/>
          <w:color w:val="000000"/>
          <w:sz w:val="32"/>
          <w:szCs w:val="32"/>
        </w:rPr>
        <w:t>§ 7 Abnahme</w:t>
      </w:r>
    </w:p>
    <w:p w14:paraId="1EA95A45"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Der Auftraggeber ist verpflichtet, die vertragsgemäß erbrachte Leistung nach Fertigstellung abzunehmen, sobald der Auftragnehmer die Fertigstellung mitgeteilt hat.</w:t>
      </w:r>
    </w:p>
    <w:p w14:paraId="61F8CE00"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Nimmt der Auftraggeber die Leistung trotz Aufforderung und Fristsetzung nicht ab, obwohl er dazu verpflichtet ist, gilt die Leistung als abgenommen, sofern der Auftraggeber Verbraucher ist und hierauf sowie auf die Rechtsfolgen zuvor ausdrücklich hingewiesen wurde (§ 640 Abs. 2 BGB).</w:t>
      </w:r>
    </w:p>
    <w:p w14:paraId="2103B40A" w14:textId="77777777" w:rsidR="009D6EB0" w:rsidRPr="004A157F" w:rsidRDefault="00000000">
      <w:pPr>
        <w:spacing w:before="260" w:after="140"/>
        <w:rPr>
          <w:rFonts w:ascii="Calibri" w:hAnsi="Calibri" w:cs="Calibri"/>
        </w:rPr>
      </w:pPr>
      <w:r w:rsidRPr="004A157F">
        <w:rPr>
          <w:rFonts w:ascii="Calibri" w:eastAsia="Arial" w:hAnsi="Calibri" w:cs="Calibri"/>
          <w:b/>
          <w:bCs/>
          <w:color w:val="000000"/>
          <w:sz w:val="32"/>
          <w:szCs w:val="32"/>
        </w:rPr>
        <w:t>§ 8 Gewährleistung / Mängelansprüche</w:t>
      </w:r>
    </w:p>
    <w:p w14:paraId="261E9589"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Es gelten die gesetzlichen Gewährleistungsvorschriften des Werkvertragsrechts (§§ 633 ff. BGB).</w:t>
      </w:r>
    </w:p>
    <w:p w14:paraId="7E5B818E"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Zeigt sich nach Abnahme ein Mangel, ist dieser dem Auftragnehmer unverzüglich in Textform anzuzeigen und ihm Gelegenheit zur Nacherfüllung zu geben.</w:t>
      </w:r>
    </w:p>
    <w:p w14:paraId="17862E28" w14:textId="3893F7FF"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Gegenüber Unternehmern beträgt die Gewährleistungsfrist</w:t>
      </w:r>
      <w:r w:rsidR="004A157F">
        <w:rPr>
          <w:rFonts w:ascii="Calibri" w:eastAsia="Arial" w:hAnsi="Calibri" w:cs="Calibri"/>
          <w:color w:val="000000"/>
        </w:rPr>
        <w:t xml:space="preserve"> </w:t>
      </w:r>
      <w:proofErr w:type="gramStart"/>
      <w:r w:rsidR="004A157F" w:rsidRPr="004A157F">
        <w:rPr>
          <w:rFonts w:ascii="Calibri" w:eastAsia="Arial" w:hAnsi="Calibri" w:cs="Calibri"/>
          <w:i/>
          <w:iCs/>
          <w:color w:val="2563EB"/>
        </w:rPr>
        <w:t>[</w:t>
      </w:r>
      <w:r w:rsidR="004A157F">
        <w:rPr>
          <w:rFonts w:ascii="Calibri" w:eastAsia="Arial" w:hAnsi="Calibri" w:cs="Calibri"/>
          <w:i/>
          <w:iCs/>
          <w:color w:val="2563EB"/>
        </w:rPr>
        <w:t xml:space="preserve"> </w:t>
      </w:r>
      <w:r w:rsidRPr="004A157F">
        <w:rPr>
          <w:rFonts w:ascii="Calibri" w:eastAsia="Arial" w:hAnsi="Calibri" w:cs="Calibri"/>
          <w:color w:val="000000"/>
        </w:rPr>
        <w:t xml:space="preserve"> </w:t>
      </w:r>
      <w:r w:rsidR="004A157F" w:rsidRPr="004A157F">
        <w:rPr>
          <w:rFonts w:ascii="Calibri" w:eastAsia="Arial" w:hAnsi="Calibri" w:cs="Calibri"/>
          <w:i/>
          <w:iCs/>
          <w:color w:val="2563EB"/>
        </w:rPr>
        <w:t>]</w:t>
      </w:r>
      <w:proofErr w:type="gramEnd"/>
      <w:r w:rsidRPr="004A157F">
        <w:rPr>
          <w:rFonts w:ascii="Calibri" w:eastAsia="Arial" w:hAnsi="Calibri" w:cs="Calibri"/>
          <w:color w:val="000000"/>
        </w:rPr>
        <w:t xml:space="preserve"> Jahre ab Abnahme, mindestens jedoch die gesetzliche Mindestfrist; gegenüber Verbrauchern gelten die gesetzlichen Fristen (in der Regel 2 Jahre bzw. 5 Jahre bei Bauwerken, § 634a BGB) unverändert.</w:t>
      </w:r>
    </w:p>
    <w:p w14:paraId="11A57AE4" w14:textId="77777777" w:rsidR="009D6EB0" w:rsidRPr="004A157F" w:rsidRDefault="00000000">
      <w:pPr>
        <w:spacing w:before="260" w:after="140"/>
        <w:rPr>
          <w:rFonts w:ascii="Calibri" w:hAnsi="Calibri" w:cs="Calibri"/>
        </w:rPr>
      </w:pPr>
      <w:r w:rsidRPr="004A157F">
        <w:rPr>
          <w:rFonts w:ascii="Calibri" w:eastAsia="Arial" w:hAnsi="Calibri" w:cs="Calibri"/>
          <w:b/>
          <w:bCs/>
          <w:color w:val="000000"/>
          <w:sz w:val="32"/>
          <w:szCs w:val="32"/>
        </w:rPr>
        <w:t>§ 9 Eigentumsvorbehalt</w:t>
      </w:r>
    </w:p>
    <w:p w14:paraId="146845D0"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Gelieferte Materialien und verbaute Teile bleiben bis zur vollständigen Bezahlung der Vergütung Eigentum des Auftragnehmers, soweit eine Trennung vom Grundstück oder Gebäude ohne Substanzverlust noch möglich ist.</w:t>
      </w:r>
    </w:p>
    <w:p w14:paraId="7F4AECE3"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Die nachfolgenden Regelungen dieses Paragrafen (Ziffern 3–5) gelten ausschließlich im Verhältnis zu Auftraggebern, die Unternehmer sind; gegenüber Verbrauchern kommen sie nicht zur Anwendung.</w:t>
      </w:r>
    </w:p>
    <w:p w14:paraId="786EC6BC"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Werden Eigentumsvorbehaltsgegenstände als wesentliche Bestandteile in ein Grundstück des Auftraggebers eingebaut, tritt der Auftraggeber bereits jetzt die aus einer Veräußerung des Grundstücks oder von Grundstücksrechten entstehenden Forderungen in Höhe des Rechnungswertes der Eigentumsvorbehaltsgegenstände mit allen Nebenrechten an den Auftragnehmer ab.</w:t>
      </w:r>
    </w:p>
    <w:p w14:paraId="4CCB0751"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Werden Eigentumsvorbehaltsgegenstände im Auftrag des Auftraggebers als wesentliche Bestandteile in das Grundstück eines Dritten eingebaut, tritt der Auftraggeber bereits jetzt die ihm gegen den Dritten zustehenden Forderungen auf Vergütung in Höhe des Rechnungswertes der Eigentumsvorbehaltsgegenstände mit allen Nebenrechten an den Auftragnehmer ab.</w:t>
      </w:r>
    </w:p>
    <w:p w14:paraId="23E4935B"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 xml:space="preserve">Werden die unter Eigentumsvorbehalt stehenden Gegenstände vom Auftraggeber mit anderen, dem Auftragnehmer nicht gehörenden Gegenständen verarbeitet, verbunden oder vermischt, steht dem </w:t>
      </w:r>
      <w:r w:rsidRPr="004A157F">
        <w:rPr>
          <w:rFonts w:ascii="Calibri" w:eastAsia="Arial" w:hAnsi="Calibri" w:cs="Calibri"/>
          <w:color w:val="000000"/>
        </w:rPr>
        <w:lastRenderedPageBreak/>
        <w:t>Auftragnehmer das Miteigentum an der neuen Sache im Verhältnis des Rechnungswertes der Vorbehaltsgegenstände zum Wert der übrigen Gegenstände zu.</w:t>
      </w:r>
    </w:p>
    <w:p w14:paraId="12F5D73D"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Jede Pfändung oder sonstige Beeinträchtigung der unter Eigentumsvorbehalt stehenden Gegenstände durch Dritte ist dem Auftragnehmer unverzüglich in Textform mitzuteilen.</w:t>
      </w:r>
    </w:p>
    <w:p w14:paraId="7C4EF614" w14:textId="77777777" w:rsidR="009D6EB0" w:rsidRPr="004A157F" w:rsidRDefault="00000000">
      <w:pPr>
        <w:spacing w:before="260" w:after="140"/>
        <w:rPr>
          <w:rFonts w:ascii="Calibri" w:hAnsi="Calibri" w:cs="Calibri"/>
        </w:rPr>
      </w:pPr>
      <w:r w:rsidRPr="004A157F">
        <w:rPr>
          <w:rFonts w:ascii="Calibri" w:eastAsia="Arial" w:hAnsi="Calibri" w:cs="Calibri"/>
          <w:b/>
          <w:bCs/>
          <w:color w:val="000000"/>
          <w:sz w:val="32"/>
          <w:szCs w:val="32"/>
        </w:rPr>
        <w:t>§ 10 Verbraucherstreitbeilegung</w:t>
      </w:r>
    </w:p>
    <w:p w14:paraId="7C4362EF"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Der Auftragnehmer ist nicht bereit und nicht verpflichtet, an einem Streitbeilegungsverfahren vor einer Verbraucherschlichtungsstelle im Sinne des Verbraucherstreitbeilegungsgesetzes teilzunehmen.</w:t>
      </w:r>
    </w:p>
    <w:p w14:paraId="40376CD3" w14:textId="77777777" w:rsidR="009D6EB0" w:rsidRPr="004A157F" w:rsidRDefault="00000000">
      <w:pPr>
        <w:spacing w:before="260" w:after="140"/>
        <w:rPr>
          <w:rFonts w:ascii="Calibri" w:hAnsi="Calibri" w:cs="Calibri"/>
        </w:rPr>
      </w:pPr>
      <w:r w:rsidRPr="004A157F">
        <w:rPr>
          <w:rFonts w:ascii="Calibri" w:eastAsia="Arial" w:hAnsi="Calibri" w:cs="Calibri"/>
          <w:b/>
          <w:bCs/>
          <w:color w:val="000000"/>
          <w:sz w:val="32"/>
          <w:szCs w:val="32"/>
        </w:rPr>
        <w:t>§ 11 Haftung</w:t>
      </w:r>
    </w:p>
    <w:p w14:paraId="2956BA30"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Der Auftragnehmer haftet unbeschränkt für Vorsatz und grobe Fahrlässigkeit sowie nach den Vorschriften des Produkthaftungsgesetzes, bei Verletzung von Leben, Körper oder Gesundheit sowie bei Übernahme einer Garantie.</w:t>
      </w:r>
    </w:p>
    <w:p w14:paraId="23380A86" w14:textId="77777777" w:rsidR="0019062B" w:rsidRPr="0019062B" w:rsidRDefault="00000000" w:rsidP="0019062B">
      <w:pPr>
        <w:pStyle w:val="Listenabsatz"/>
        <w:numPr>
          <w:ilvl w:val="0"/>
          <w:numId w:val="2"/>
        </w:numPr>
        <w:spacing w:before="260" w:after="140"/>
        <w:rPr>
          <w:rFonts w:ascii="Calibri" w:hAnsi="Calibri" w:cs="Calibri"/>
        </w:rPr>
      </w:pPr>
      <w:r w:rsidRPr="0019062B">
        <w:rPr>
          <w:rFonts w:ascii="Calibri" w:eastAsia="Arial" w:hAnsi="Calibri" w:cs="Calibri"/>
          <w:color w:val="000000"/>
        </w:rPr>
        <w:t>Bei leicht fahrlässiger Verletzung wesentlicher Vertragspflichten (Kardinalpflichten) ist die Haftung auf den vertragstypischen, vorhersehbaren Schaden begrenzt.</w:t>
      </w:r>
    </w:p>
    <w:p w14:paraId="2B12B97F" w14:textId="097D33C7" w:rsidR="009D6EB0" w:rsidRPr="0019062B" w:rsidRDefault="00000000" w:rsidP="0019062B">
      <w:pPr>
        <w:spacing w:before="260" w:after="140"/>
        <w:rPr>
          <w:rFonts w:ascii="Calibri" w:hAnsi="Calibri" w:cs="Calibri"/>
        </w:rPr>
      </w:pPr>
      <w:r w:rsidRPr="0019062B">
        <w:rPr>
          <w:rFonts w:ascii="Calibri" w:eastAsia="Arial" w:hAnsi="Calibri" w:cs="Calibri"/>
          <w:b/>
          <w:bCs/>
          <w:color w:val="000000"/>
          <w:sz w:val="32"/>
          <w:szCs w:val="32"/>
        </w:rPr>
        <w:t>§ 12 Kündigung</w:t>
      </w:r>
    </w:p>
    <w:p w14:paraId="0863018D"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Der Auftraggeber kann den Vertrag bis zur Vollendung der Leistung jederzeit kündigen (§ 648 BGB). In diesem Fall behält der Auftragnehmer den Anspruch auf die vereinbarte Vergütung abzüglich ersparter Aufwendungen.</w:t>
      </w:r>
    </w:p>
    <w:p w14:paraId="593F2B7A" w14:textId="77777777" w:rsidR="009D6EB0" w:rsidRPr="004A157F" w:rsidRDefault="00000000">
      <w:pPr>
        <w:spacing w:before="260" w:after="140"/>
        <w:rPr>
          <w:rFonts w:ascii="Calibri" w:hAnsi="Calibri" w:cs="Calibri"/>
        </w:rPr>
      </w:pPr>
      <w:r w:rsidRPr="004A157F">
        <w:rPr>
          <w:rFonts w:ascii="Calibri" w:eastAsia="Arial" w:hAnsi="Calibri" w:cs="Calibri"/>
          <w:b/>
          <w:bCs/>
          <w:color w:val="000000"/>
          <w:sz w:val="32"/>
          <w:szCs w:val="32"/>
        </w:rPr>
        <w:t>§ 13 Schlussbestimmungen</w:t>
      </w:r>
    </w:p>
    <w:p w14:paraId="6773DC6E"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Es gilt das Recht der Bundesrepublik Deutschland unter Ausschluss des UN-Kaufrechts.</w:t>
      </w:r>
    </w:p>
    <w:p w14:paraId="62DC647D"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 xml:space="preserve">Ist der Auftraggeber Kaufmann, juristische Person des öffentlichen Rechts oder öffentlich-rechtliches Sondervermögen, ist ausschließlicher Gerichtsstand für alle Streitigkeiten der Sitz des Auftragnehmers: </w:t>
      </w:r>
    </w:p>
    <w:p w14:paraId="3C080B44" w14:textId="305FF138" w:rsidR="009D6EB0" w:rsidRPr="004A157F" w:rsidRDefault="004A157F">
      <w:pPr>
        <w:spacing w:after="200"/>
        <w:rPr>
          <w:rFonts w:ascii="Calibri" w:hAnsi="Calibri" w:cs="Calibri"/>
        </w:rPr>
      </w:pPr>
      <w:r w:rsidRPr="004A157F">
        <w:rPr>
          <w:rFonts w:ascii="Calibri" w:eastAsia="Arial" w:hAnsi="Calibri" w:cs="Calibri"/>
          <w:i/>
          <w:iCs/>
          <w:color w:val="2563EB"/>
        </w:rPr>
        <w:t>[Ort]</w:t>
      </w:r>
    </w:p>
    <w:p w14:paraId="1BA51336" w14:textId="77777777" w:rsidR="009D6EB0" w:rsidRPr="004A157F" w:rsidRDefault="00000000">
      <w:pPr>
        <w:pStyle w:val="Listenabsatz"/>
        <w:numPr>
          <w:ilvl w:val="0"/>
          <w:numId w:val="2"/>
        </w:numPr>
        <w:spacing w:after="100"/>
        <w:rPr>
          <w:rFonts w:ascii="Calibri" w:hAnsi="Calibri" w:cs="Calibri"/>
        </w:rPr>
      </w:pPr>
      <w:r w:rsidRPr="004A157F">
        <w:rPr>
          <w:rFonts w:ascii="Calibri" w:eastAsia="Arial" w:hAnsi="Calibri" w:cs="Calibri"/>
          <w:color w:val="000000"/>
        </w:rPr>
        <w:t>Sollten einzelne Bestimmungen dieser AGB unwirksam sein oder werden, bleibt die Wirksamkeit der übrigen Bestimmungen unberührt.</w:t>
      </w:r>
    </w:p>
    <w:p w14:paraId="26DEBA7D" w14:textId="77777777" w:rsidR="009D6EB0" w:rsidRPr="004A157F" w:rsidRDefault="009D6EB0">
      <w:pPr>
        <w:spacing w:before="300"/>
        <w:rPr>
          <w:rFonts w:ascii="Calibri" w:hAnsi="Calibri" w:cs="Calibri"/>
        </w:rPr>
      </w:pPr>
    </w:p>
    <w:p w14:paraId="49A505E8" w14:textId="77777777" w:rsidR="009D6EB0" w:rsidRPr="004A157F" w:rsidRDefault="00000000">
      <w:pPr>
        <w:spacing w:after="140"/>
        <w:rPr>
          <w:rFonts w:ascii="Calibri" w:hAnsi="Calibri" w:cs="Calibri"/>
        </w:rPr>
      </w:pPr>
      <w:r w:rsidRPr="004A157F">
        <w:rPr>
          <w:rFonts w:ascii="Calibri" w:eastAsia="Arial" w:hAnsi="Calibri" w:cs="Calibri"/>
          <w:color w:val="000000"/>
        </w:rPr>
        <w:t xml:space="preserve">Stand: </w:t>
      </w:r>
      <w:r w:rsidRPr="004A157F">
        <w:rPr>
          <w:rFonts w:ascii="Calibri" w:eastAsia="Arial" w:hAnsi="Calibri" w:cs="Calibri"/>
          <w:i/>
          <w:iCs/>
          <w:color w:val="2563EB"/>
        </w:rPr>
        <w:t>[Datum einfügen]</w:t>
      </w:r>
    </w:p>
    <w:p w14:paraId="5AE06D78" w14:textId="7FEA6007" w:rsidR="009D6EB0" w:rsidRPr="004A157F" w:rsidRDefault="009D6EB0">
      <w:pPr>
        <w:pBdr>
          <w:top w:val="single" w:sz="4" w:space="8" w:color="CCCCCC"/>
        </w:pBdr>
        <w:spacing w:before="500"/>
        <w:rPr>
          <w:rFonts w:ascii="Calibri" w:hAnsi="Calibri" w:cs="Calibri"/>
        </w:rPr>
      </w:pPr>
    </w:p>
    <w:sectPr w:rsidR="009D6EB0" w:rsidRPr="004A157F">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5090"/>
    <w:multiLevelType w:val="hybridMultilevel"/>
    <w:tmpl w:val="D1262E26"/>
    <w:lvl w:ilvl="0" w:tplc="AF8637B0">
      <w:start w:val="1"/>
      <w:numFmt w:val="decimal"/>
      <w:lvlText w:val="%1."/>
      <w:lvlJc w:val="left"/>
      <w:pPr>
        <w:ind w:left="400" w:hanging="260"/>
      </w:pPr>
    </w:lvl>
    <w:lvl w:ilvl="1" w:tplc="E51AD050">
      <w:numFmt w:val="decimal"/>
      <w:lvlText w:val=""/>
      <w:lvlJc w:val="left"/>
    </w:lvl>
    <w:lvl w:ilvl="2" w:tplc="27FAE7E6">
      <w:numFmt w:val="decimal"/>
      <w:lvlText w:val=""/>
      <w:lvlJc w:val="left"/>
    </w:lvl>
    <w:lvl w:ilvl="3" w:tplc="E61ECFC2">
      <w:numFmt w:val="decimal"/>
      <w:lvlText w:val=""/>
      <w:lvlJc w:val="left"/>
    </w:lvl>
    <w:lvl w:ilvl="4" w:tplc="C4B26076">
      <w:numFmt w:val="decimal"/>
      <w:lvlText w:val=""/>
      <w:lvlJc w:val="left"/>
    </w:lvl>
    <w:lvl w:ilvl="5" w:tplc="1A7EC36A">
      <w:numFmt w:val="decimal"/>
      <w:lvlText w:val=""/>
      <w:lvlJc w:val="left"/>
    </w:lvl>
    <w:lvl w:ilvl="6" w:tplc="5700F41E">
      <w:numFmt w:val="decimal"/>
      <w:lvlText w:val=""/>
      <w:lvlJc w:val="left"/>
    </w:lvl>
    <w:lvl w:ilvl="7" w:tplc="B920A33A">
      <w:numFmt w:val="decimal"/>
      <w:lvlText w:val=""/>
      <w:lvlJc w:val="left"/>
    </w:lvl>
    <w:lvl w:ilvl="8" w:tplc="933CDC9A">
      <w:numFmt w:val="decimal"/>
      <w:lvlText w:val=""/>
      <w:lvlJc w:val="left"/>
    </w:lvl>
  </w:abstractNum>
  <w:abstractNum w:abstractNumId="1" w15:restartNumberingAfterBreak="0">
    <w:nsid w:val="2E2F0782"/>
    <w:multiLevelType w:val="hybridMultilevel"/>
    <w:tmpl w:val="7F4C1084"/>
    <w:lvl w:ilvl="0" w:tplc="F39085D0">
      <w:start w:val="1"/>
      <w:numFmt w:val="bullet"/>
      <w:lvlText w:val="●"/>
      <w:lvlJc w:val="left"/>
      <w:pPr>
        <w:ind w:left="720" w:hanging="360"/>
      </w:pPr>
    </w:lvl>
    <w:lvl w:ilvl="1" w:tplc="E1E81326">
      <w:start w:val="1"/>
      <w:numFmt w:val="bullet"/>
      <w:lvlText w:val="○"/>
      <w:lvlJc w:val="left"/>
      <w:pPr>
        <w:ind w:left="1440" w:hanging="360"/>
      </w:pPr>
    </w:lvl>
    <w:lvl w:ilvl="2" w:tplc="DE9EDD60">
      <w:start w:val="1"/>
      <w:numFmt w:val="bullet"/>
      <w:lvlText w:val="■"/>
      <w:lvlJc w:val="left"/>
      <w:pPr>
        <w:ind w:left="2160" w:hanging="360"/>
      </w:pPr>
    </w:lvl>
    <w:lvl w:ilvl="3" w:tplc="41D4AED0">
      <w:start w:val="1"/>
      <w:numFmt w:val="bullet"/>
      <w:lvlText w:val="●"/>
      <w:lvlJc w:val="left"/>
      <w:pPr>
        <w:ind w:left="2880" w:hanging="360"/>
      </w:pPr>
    </w:lvl>
    <w:lvl w:ilvl="4" w:tplc="ED463982">
      <w:start w:val="1"/>
      <w:numFmt w:val="bullet"/>
      <w:lvlText w:val="○"/>
      <w:lvlJc w:val="left"/>
      <w:pPr>
        <w:ind w:left="3600" w:hanging="360"/>
      </w:pPr>
    </w:lvl>
    <w:lvl w:ilvl="5" w:tplc="B92683CE">
      <w:start w:val="1"/>
      <w:numFmt w:val="bullet"/>
      <w:lvlText w:val="■"/>
      <w:lvlJc w:val="left"/>
      <w:pPr>
        <w:ind w:left="4320" w:hanging="360"/>
      </w:pPr>
    </w:lvl>
    <w:lvl w:ilvl="6" w:tplc="FA506FD4">
      <w:start w:val="1"/>
      <w:numFmt w:val="bullet"/>
      <w:lvlText w:val="●"/>
      <w:lvlJc w:val="left"/>
      <w:pPr>
        <w:ind w:left="5040" w:hanging="360"/>
      </w:pPr>
    </w:lvl>
    <w:lvl w:ilvl="7" w:tplc="89D4F07C">
      <w:start w:val="1"/>
      <w:numFmt w:val="bullet"/>
      <w:lvlText w:val="●"/>
      <w:lvlJc w:val="left"/>
      <w:pPr>
        <w:ind w:left="5760" w:hanging="360"/>
      </w:pPr>
    </w:lvl>
    <w:lvl w:ilvl="8" w:tplc="5A782D14">
      <w:start w:val="1"/>
      <w:numFmt w:val="bullet"/>
      <w:lvlText w:val="●"/>
      <w:lvlJc w:val="left"/>
      <w:pPr>
        <w:ind w:left="6480" w:hanging="360"/>
      </w:pPr>
    </w:lvl>
  </w:abstractNum>
  <w:num w:numId="1" w16cid:durableId="793212302">
    <w:abstractNumId w:val="1"/>
    <w:lvlOverride w:ilvl="0">
      <w:startOverride w:val="1"/>
    </w:lvlOverride>
  </w:num>
  <w:num w:numId="2" w16cid:durableId="6958107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B0"/>
    <w:rsid w:val="0019062B"/>
    <w:rsid w:val="004A157F"/>
    <w:rsid w:val="00503215"/>
    <w:rsid w:val="0083240C"/>
    <w:rsid w:val="008B74D5"/>
    <w:rsid w:val="009D6EB0"/>
    <w:rsid w:val="00A73A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4DDD5"/>
  <w15:docId w15:val="{D47AE80D-3C78-2240-9D2A-E78236777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1143</Words>
  <Characters>7207</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Fabian Richartz</cp:lastModifiedBy>
  <cp:revision>2</cp:revision>
  <dcterms:created xsi:type="dcterms:W3CDTF">2026-07-17T13:44:00Z</dcterms:created>
  <dcterms:modified xsi:type="dcterms:W3CDTF">2026-07-17T13:44:00Z</dcterms:modified>
</cp:coreProperties>
</file>